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93484" w14:textId="15E576D2" w:rsidR="00775539" w:rsidRPr="00775539" w:rsidRDefault="00775539" w:rsidP="00775539">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IN"/>
        </w:rPr>
      </w:pPr>
      <w:bookmarkStart w:id="0" w:name="_Hlk239325426"/>
      <w:r w:rsidRPr="00775539">
        <w:rPr>
          <w:rFonts w:ascii="Times New Roman" w:eastAsia="Times New Roman" w:hAnsi="Times New Roman" w:cs="Times New Roman"/>
          <w:b/>
          <w:bCs/>
          <w:kern w:val="36"/>
          <w:sz w:val="36"/>
          <w:szCs w:val="36"/>
          <w:lang w:eastAsia="en-IN"/>
        </w:rPr>
        <w:t>Inox Wind secures</w:t>
      </w:r>
      <w:r w:rsidR="007837C0">
        <w:rPr>
          <w:rFonts w:ascii="Times New Roman" w:eastAsia="Times New Roman" w:hAnsi="Times New Roman" w:cs="Times New Roman"/>
          <w:b/>
          <w:bCs/>
          <w:kern w:val="36"/>
          <w:sz w:val="36"/>
          <w:szCs w:val="36"/>
          <w:lang w:eastAsia="en-IN"/>
        </w:rPr>
        <w:t xml:space="preserve"> repeat</w:t>
      </w:r>
      <w:r w:rsidRPr="00775539">
        <w:rPr>
          <w:rFonts w:ascii="Times New Roman" w:eastAsia="Times New Roman" w:hAnsi="Times New Roman" w:cs="Times New Roman"/>
          <w:b/>
          <w:bCs/>
          <w:kern w:val="36"/>
          <w:sz w:val="36"/>
          <w:szCs w:val="36"/>
          <w:lang w:eastAsia="en-IN"/>
        </w:rPr>
        <w:t xml:space="preserve"> turnkey order from Indian Oil Corporation Limited</w:t>
      </w:r>
    </w:p>
    <w:p w14:paraId="7000A45B" w14:textId="4A643507" w:rsidR="007A5EA8" w:rsidRDefault="00775539" w:rsidP="00775539">
      <w:pPr>
        <w:spacing w:before="100" w:beforeAutospacing="1" w:after="100" w:afterAutospacing="1" w:line="240" w:lineRule="auto"/>
        <w:rPr>
          <w:rFonts w:ascii="Times New Roman" w:eastAsia="Times New Roman" w:hAnsi="Times New Roman" w:cs="Times New Roman"/>
          <w:lang w:eastAsia="en-IN"/>
        </w:rPr>
      </w:pPr>
      <w:r>
        <w:rPr>
          <w:rFonts w:ascii="Times New Roman" w:eastAsia="Times New Roman" w:hAnsi="Times New Roman" w:cs="Times New Roman"/>
          <w:lang w:eastAsia="en-IN"/>
        </w:rPr>
        <w:br/>
      </w:r>
      <w:r w:rsidR="0098652E">
        <w:rPr>
          <w:rFonts w:ascii="Times New Roman" w:eastAsia="Times New Roman" w:hAnsi="Times New Roman" w:cs="Times New Roman"/>
          <w:lang w:eastAsia="en-IN"/>
        </w:rPr>
        <w:t>- 1</w:t>
      </w:r>
      <w:r w:rsidR="00611898">
        <w:rPr>
          <w:rFonts w:ascii="Times New Roman" w:eastAsia="Times New Roman" w:hAnsi="Times New Roman" w:cs="Times New Roman"/>
          <w:lang w:eastAsia="en-IN"/>
        </w:rPr>
        <w:t xml:space="preserve">00 MW turnkey order </w:t>
      </w:r>
      <w:r w:rsidR="00C462D5" w:rsidRPr="00C462D5">
        <w:rPr>
          <w:rFonts w:ascii="Times New Roman" w:eastAsia="Times New Roman" w:hAnsi="Times New Roman" w:cs="Times New Roman"/>
          <w:lang w:eastAsia="en-IN"/>
        </w:rPr>
        <w:t>with a contract value of approximately ₹755 crore</w:t>
      </w:r>
    </w:p>
    <w:p w14:paraId="2017B1C9" w14:textId="7D83BB1D"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75539">
        <w:rPr>
          <w:rFonts w:ascii="Times New Roman" w:eastAsia="Times New Roman" w:hAnsi="Times New Roman" w:cs="Times New Roman"/>
          <w:lang w:eastAsia="en-IN"/>
        </w:rPr>
        <w:t>~</w:t>
      </w:r>
      <w:r>
        <w:rPr>
          <w:rFonts w:ascii="Times New Roman" w:eastAsia="Times New Roman" w:hAnsi="Times New Roman" w:cs="Times New Roman"/>
          <w:lang w:eastAsia="en-IN"/>
        </w:rPr>
        <w:t xml:space="preserve"> </w:t>
      </w:r>
      <w:r w:rsidRPr="00775539">
        <w:rPr>
          <w:rFonts w:ascii="Times New Roman" w:eastAsia="Times New Roman" w:hAnsi="Times New Roman" w:cs="Times New Roman"/>
          <w:lang w:eastAsia="en-IN"/>
        </w:rPr>
        <w:t xml:space="preserve">Order includes </w:t>
      </w:r>
      <w:r w:rsidR="00B61024">
        <w:rPr>
          <w:rFonts w:ascii="Times New Roman" w:eastAsia="Times New Roman" w:hAnsi="Times New Roman" w:cs="Times New Roman"/>
          <w:lang w:eastAsia="en-IN"/>
        </w:rPr>
        <w:t xml:space="preserve">turnkey </w:t>
      </w:r>
      <w:r w:rsidRPr="00775539">
        <w:rPr>
          <w:rFonts w:ascii="Times New Roman" w:eastAsia="Times New Roman" w:hAnsi="Times New Roman" w:cs="Times New Roman"/>
          <w:lang w:eastAsia="en-IN"/>
        </w:rPr>
        <w:t>project execution and post-commissioning O&amp;M services</w:t>
      </w:r>
      <w:r w:rsidR="00E876B8">
        <w:rPr>
          <w:rFonts w:ascii="Times New Roman" w:eastAsia="Times New Roman" w:hAnsi="Times New Roman" w:cs="Times New Roman"/>
          <w:lang w:eastAsia="en-IN"/>
        </w:rPr>
        <w:t xml:space="preserve"> </w:t>
      </w:r>
      <w:r w:rsidR="00EE6C51">
        <w:rPr>
          <w:rFonts w:ascii="Times New Roman" w:eastAsia="Times New Roman" w:hAnsi="Times New Roman" w:cs="Times New Roman"/>
          <w:lang w:eastAsia="en-IN"/>
        </w:rPr>
        <w:t>for a period of 10 years</w:t>
      </w:r>
    </w:p>
    <w:p w14:paraId="480C2BDC" w14:textId="4A729CBC"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Pr>
          <w:rFonts w:ascii="Times New Roman" w:eastAsia="Times New Roman" w:hAnsi="Times New Roman" w:cs="Times New Roman"/>
          <w:lang w:eastAsia="en-IN"/>
        </w:rPr>
        <w:br/>
      </w:r>
      <w:r w:rsidRPr="007837C0">
        <w:rPr>
          <w:rFonts w:ascii="Times New Roman" w:eastAsia="Times New Roman" w:hAnsi="Times New Roman" w:cs="Times New Roman"/>
          <w:b/>
          <w:bCs/>
          <w:lang w:eastAsia="en-IN"/>
        </w:rPr>
        <w:t xml:space="preserve">Noida, September </w:t>
      </w:r>
      <w:r w:rsidR="007837C0" w:rsidRPr="007837C0">
        <w:rPr>
          <w:rFonts w:ascii="Times New Roman" w:eastAsia="Times New Roman" w:hAnsi="Times New Roman" w:cs="Times New Roman"/>
          <w:b/>
          <w:bCs/>
          <w:lang w:eastAsia="en-IN"/>
        </w:rPr>
        <w:t>0</w:t>
      </w:r>
      <w:r w:rsidR="007837C0">
        <w:rPr>
          <w:rFonts w:ascii="Times New Roman" w:eastAsia="Times New Roman" w:hAnsi="Times New Roman" w:cs="Times New Roman"/>
          <w:b/>
          <w:bCs/>
          <w:lang w:eastAsia="en-IN"/>
        </w:rPr>
        <w:t>3</w:t>
      </w:r>
      <w:r w:rsidRPr="007837C0">
        <w:rPr>
          <w:rFonts w:ascii="Times New Roman" w:eastAsia="Times New Roman" w:hAnsi="Times New Roman" w:cs="Times New Roman"/>
          <w:b/>
          <w:bCs/>
          <w:lang w:eastAsia="en-IN"/>
        </w:rPr>
        <w:t>, 2026:</w:t>
      </w:r>
      <w:r w:rsidRPr="00775539">
        <w:rPr>
          <w:rFonts w:ascii="Times New Roman" w:eastAsia="Times New Roman" w:hAnsi="Times New Roman" w:cs="Times New Roman"/>
          <w:lang w:eastAsia="en-IN"/>
        </w:rPr>
        <w:t xml:space="preserve"> Inox Wind Limited (IWL), India’s leading wind energy solutions provider, today announced that it has secured a 100 MW turnkey order from Indian Oil Corporation Limited (Indian</w:t>
      </w:r>
      <w:r w:rsidR="00D01B57">
        <w:rPr>
          <w:rFonts w:ascii="Times New Roman" w:eastAsia="Times New Roman" w:hAnsi="Times New Roman" w:cs="Times New Roman"/>
          <w:lang w:eastAsia="en-IN"/>
        </w:rPr>
        <w:t xml:space="preserve"> </w:t>
      </w:r>
      <w:r w:rsidRPr="00775539">
        <w:rPr>
          <w:rFonts w:ascii="Times New Roman" w:eastAsia="Times New Roman" w:hAnsi="Times New Roman" w:cs="Times New Roman"/>
          <w:lang w:eastAsia="en-IN"/>
        </w:rPr>
        <w:t xml:space="preserve">Oil), </w:t>
      </w:r>
      <w:r w:rsidR="00B5620B">
        <w:rPr>
          <w:rFonts w:ascii="Times New Roman" w:eastAsia="Times New Roman" w:hAnsi="Times New Roman" w:cs="Times New Roman"/>
          <w:lang w:eastAsia="en-IN"/>
        </w:rPr>
        <w:t>India’s largest oil marketing company</w:t>
      </w:r>
      <w:r w:rsidRPr="00775539">
        <w:rPr>
          <w:rFonts w:ascii="Times New Roman" w:eastAsia="Times New Roman" w:hAnsi="Times New Roman" w:cs="Times New Roman"/>
          <w:lang w:eastAsia="en-IN"/>
        </w:rPr>
        <w:t>. The order will be executed on a turnkey basis and includes post-commissioning operations and maintenance (O&amp;M) services.</w:t>
      </w:r>
    </w:p>
    <w:p w14:paraId="15FB6779" w14:textId="1E97A189"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75539">
        <w:rPr>
          <w:rFonts w:ascii="Times New Roman" w:eastAsia="Times New Roman" w:hAnsi="Times New Roman" w:cs="Times New Roman"/>
          <w:lang w:eastAsia="en-IN"/>
        </w:rPr>
        <w:t xml:space="preserve">Under the order, Inox Wind will be responsible for the end-to-end execution of the project, including the supply of wind turbine generators, engineering, procurement &amp; construction (EPC), project execution and post-commissioning O&amp;M services. </w:t>
      </w:r>
    </w:p>
    <w:p w14:paraId="68BD4A8C" w14:textId="3A1CC92E"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75539">
        <w:rPr>
          <w:rFonts w:ascii="Times New Roman" w:eastAsia="Times New Roman" w:hAnsi="Times New Roman" w:cs="Times New Roman"/>
          <w:lang w:eastAsia="en-IN"/>
        </w:rPr>
        <w:t xml:space="preserve">The order strengthens Inox Wind’s diversified customer portfolio, which spans commercial &amp; industrial (C&amp;I) customers, public sector undertakings (PSUs) and independent power producers (IPPs). </w:t>
      </w:r>
    </w:p>
    <w:p w14:paraId="40E1C28A" w14:textId="369234A1"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75539">
        <w:rPr>
          <w:rFonts w:ascii="Times New Roman" w:eastAsia="Times New Roman" w:hAnsi="Times New Roman" w:cs="Times New Roman"/>
          <w:lang w:eastAsia="en-IN"/>
        </w:rPr>
        <w:t xml:space="preserve">This order further reinforces Inox Wind’s position as an integrated wind energy solutions provider with capabilities spanning the entire project lifecycle—from turbine supply and project development to EPC and long-term O&amp;M. </w:t>
      </w:r>
    </w:p>
    <w:p w14:paraId="2FF0EE44" w14:textId="3A3416DD"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75539">
        <w:rPr>
          <w:rFonts w:ascii="Times New Roman" w:eastAsia="Times New Roman" w:hAnsi="Times New Roman" w:cs="Times New Roman"/>
          <w:lang w:eastAsia="en-IN"/>
        </w:rPr>
        <w:t>On this occasion,</w:t>
      </w:r>
      <w:r w:rsidRPr="007837C0">
        <w:rPr>
          <w:rFonts w:ascii="Times New Roman" w:eastAsia="Times New Roman" w:hAnsi="Times New Roman" w:cs="Times New Roman"/>
          <w:b/>
          <w:bCs/>
          <w:lang w:eastAsia="en-IN"/>
        </w:rPr>
        <w:t xml:space="preserve"> Mr. </w:t>
      </w:r>
      <w:r w:rsidR="009D76B3" w:rsidRPr="007837C0">
        <w:rPr>
          <w:rFonts w:ascii="Times New Roman" w:eastAsia="Times New Roman" w:hAnsi="Times New Roman" w:cs="Times New Roman"/>
          <w:b/>
          <w:bCs/>
          <w:lang w:eastAsia="en-IN"/>
        </w:rPr>
        <w:t>Kailash Tarachandani</w:t>
      </w:r>
      <w:r w:rsidR="00986B55" w:rsidRPr="007837C0">
        <w:rPr>
          <w:rFonts w:ascii="Times New Roman" w:eastAsia="Times New Roman" w:hAnsi="Times New Roman" w:cs="Times New Roman"/>
          <w:b/>
          <w:bCs/>
          <w:lang w:eastAsia="en-IN"/>
        </w:rPr>
        <w:t xml:space="preserve">, </w:t>
      </w:r>
      <w:r w:rsidR="00032E44" w:rsidRPr="007837C0">
        <w:rPr>
          <w:rFonts w:ascii="Times New Roman" w:eastAsia="Times New Roman" w:hAnsi="Times New Roman" w:cs="Times New Roman"/>
          <w:b/>
          <w:bCs/>
          <w:lang w:eastAsia="en-IN"/>
        </w:rPr>
        <w:t>Group CEO,</w:t>
      </w:r>
      <w:r w:rsidR="0078282D" w:rsidRPr="007837C0">
        <w:rPr>
          <w:rFonts w:ascii="Times New Roman" w:eastAsia="Times New Roman" w:hAnsi="Times New Roman" w:cs="Times New Roman"/>
          <w:b/>
          <w:bCs/>
          <w:lang w:eastAsia="en-IN"/>
        </w:rPr>
        <w:t xml:space="preserve"> </w:t>
      </w:r>
      <w:proofErr w:type="gramStart"/>
      <w:r w:rsidR="0078282D" w:rsidRPr="007837C0">
        <w:rPr>
          <w:rFonts w:ascii="Times New Roman" w:eastAsia="Times New Roman" w:hAnsi="Times New Roman" w:cs="Times New Roman"/>
          <w:b/>
          <w:bCs/>
          <w:lang w:eastAsia="en-IN"/>
        </w:rPr>
        <w:t>Renewables</w:t>
      </w:r>
      <w:proofErr w:type="gramEnd"/>
      <w:r w:rsidR="0078282D" w:rsidRPr="007837C0">
        <w:rPr>
          <w:rFonts w:ascii="Times New Roman" w:eastAsia="Times New Roman" w:hAnsi="Times New Roman" w:cs="Times New Roman"/>
          <w:b/>
          <w:bCs/>
          <w:lang w:eastAsia="en-IN"/>
        </w:rPr>
        <w:t xml:space="preserve"> business, INOXGFL Group</w:t>
      </w:r>
      <w:r w:rsidRPr="007837C0">
        <w:rPr>
          <w:rFonts w:ascii="Times New Roman" w:eastAsia="Times New Roman" w:hAnsi="Times New Roman" w:cs="Times New Roman"/>
          <w:b/>
          <w:bCs/>
          <w:lang w:eastAsia="en-IN"/>
        </w:rPr>
        <w:t>,</w:t>
      </w:r>
      <w:r w:rsidRPr="00775539">
        <w:rPr>
          <w:rFonts w:ascii="Times New Roman" w:eastAsia="Times New Roman" w:hAnsi="Times New Roman" w:cs="Times New Roman"/>
          <w:lang w:eastAsia="en-IN"/>
        </w:rPr>
        <w:t xml:space="preserve"> said, “We are pleased to have secured this 100 MW turnkey order from Indian Oil Corporation Limited, </w:t>
      </w:r>
      <w:r w:rsidR="000F3440">
        <w:rPr>
          <w:rFonts w:ascii="Times New Roman" w:eastAsia="Times New Roman" w:hAnsi="Times New Roman" w:cs="Times New Roman"/>
          <w:lang w:eastAsia="en-IN"/>
        </w:rPr>
        <w:t xml:space="preserve">a </w:t>
      </w:r>
      <w:proofErr w:type="spellStart"/>
      <w:r w:rsidR="000F3440">
        <w:rPr>
          <w:rFonts w:ascii="Times New Roman" w:eastAsia="Times New Roman" w:hAnsi="Times New Roman" w:cs="Times New Roman"/>
          <w:lang w:eastAsia="en-IN"/>
        </w:rPr>
        <w:t>Maharatna</w:t>
      </w:r>
      <w:proofErr w:type="spellEnd"/>
      <w:r w:rsidR="000F3440">
        <w:rPr>
          <w:rFonts w:ascii="Times New Roman" w:eastAsia="Times New Roman" w:hAnsi="Times New Roman" w:cs="Times New Roman"/>
          <w:lang w:eastAsia="en-IN"/>
        </w:rPr>
        <w:t xml:space="preserve"> company and </w:t>
      </w:r>
      <w:r w:rsidR="00937941">
        <w:rPr>
          <w:rFonts w:ascii="Times New Roman" w:eastAsia="Times New Roman" w:hAnsi="Times New Roman" w:cs="Times New Roman"/>
          <w:lang w:eastAsia="en-IN"/>
        </w:rPr>
        <w:t>India’s largest oil marketing company.</w:t>
      </w:r>
      <w:r w:rsidRPr="00775539">
        <w:rPr>
          <w:rFonts w:ascii="Times New Roman" w:eastAsia="Times New Roman" w:hAnsi="Times New Roman" w:cs="Times New Roman"/>
          <w:lang w:eastAsia="en-IN"/>
        </w:rPr>
        <w:t xml:space="preserve"> Th</w:t>
      </w:r>
      <w:r w:rsidR="007107BD">
        <w:rPr>
          <w:rFonts w:ascii="Times New Roman" w:eastAsia="Times New Roman" w:hAnsi="Times New Roman" w:cs="Times New Roman"/>
          <w:lang w:eastAsia="en-IN"/>
        </w:rPr>
        <w:t xml:space="preserve">is repeat </w:t>
      </w:r>
      <w:r w:rsidRPr="00775539">
        <w:rPr>
          <w:rFonts w:ascii="Times New Roman" w:eastAsia="Times New Roman" w:hAnsi="Times New Roman" w:cs="Times New Roman"/>
          <w:lang w:eastAsia="en-IN"/>
        </w:rPr>
        <w:t>order is a testament to the confidence that leading institutional customers place in our integrated capabilities and execution track record. With our ability to deliver comprehensive solutions across the wind project lifecycle, we remain well positioned to support customers in their transition towards cleaner sources of energy.”</w:t>
      </w:r>
    </w:p>
    <w:p w14:paraId="48F18124" w14:textId="790D29EE" w:rsidR="00775539" w:rsidRPr="00775539" w:rsidRDefault="00775539" w:rsidP="00775539">
      <w:pPr>
        <w:spacing w:before="100" w:beforeAutospacing="1" w:after="100" w:afterAutospacing="1" w:line="240" w:lineRule="auto"/>
        <w:rPr>
          <w:rFonts w:ascii="Times New Roman" w:eastAsia="Times New Roman" w:hAnsi="Times New Roman" w:cs="Times New Roman"/>
          <w:lang w:eastAsia="en-IN"/>
        </w:rPr>
      </w:pPr>
      <w:r w:rsidRPr="007837C0">
        <w:rPr>
          <w:rFonts w:ascii="Times New Roman" w:eastAsia="Times New Roman" w:hAnsi="Times New Roman" w:cs="Times New Roman"/>
          <w:b/>
          <w:bCs/>
          <w:lang w:eastAsia="en-IN"/>
        </w:rPr>
        <w:t xml:space="preserve">Mr. </w:t>
      </w:r>
      <w:r w:rsidR="003175F9" w:rsidRPr="007837C0">
        <w:rPr>
          <w:rFonts w:ascii="Times New Roman" w:eastAsia="Times New Roman" w:hAnsi="Times New Roman" w:cs="Times New Roman"/>
          <w:b/>
          <w:bCs/>
          <w:lang w:eastAsia="en-IN"/>
        </w:rPr>
        <w:t>Tarachandani</w:t>
      </w:r>
      <w:r w:rsidRPr="00775539">
        <w:rPr>
          <w:rFonts w:ascii="Times New Roman" w:eastAsia="Times New Roman" w:hAnsi="Times New Roman" w:cs="Times New Roman"/>
          <w:lang w:eastAsia="en-IN"/>
        </w:rPr>
        <w:t xml:space="preserve"> further added, “India’s renewable energy transition is creating significant opportunities for wind power, with large enterprises and public sector organisations increasingly looking for reliable partners who can deliver projects with efficiency and accountability. We are committed to leveraging our technology, manufacturing and execution capabilities to deliver high-quality projects while contributing meaningfully to India’s clean energy ambitions.”</w:t>
      </w:r>
    </w:p>
    <w:p w14:paraId="500D5138" w14:textId="77777777" w:rsidR="007837C0" w:rsidRDefault="007837C0">
      <w:pPr>
        <w:rPr>
          <w:rFonts w:ascii="Times New Roman" w:eastAsia="Times New Roman" w:hAnsi="Times New Roman" w:cs="Times New Roman"/>
          <w:b/>
          <w:bCs/>
          <w:u w:val="single"/>
          <w:lang w:eastAsia="en-IN"/>
        </w:rPr>
      </w:pPr>
    </w:p>
    <w:p w14:paraId="742EA5ED" w14:textId="64E8BFA7" w:rsidR="00C459E4" w:rsidRPr="007837C0" w:rsidRDefault="009C3EE7">
      <w:pPr>
        <w:rPr>
          <w:rFonts w:ascii="Times New Roman" w:eastAsia="Times New Roman" w:hAnsi="Times New Roman" w:cs="Times New Roman"/>
          <w:b/>
          <w:bCs/>
          <w:u w:val="single"/>
          <w:lang w:eastAsia="en-IN"/>
        </w:rPr>
      </w:pPr>
      <w:r w:rsidRPr="007837C0">
        <w:rPr>
          <w:rFonts w:ascii="Times New Roman" w:eastAsia="Times New Roman" w:hAnsi="Times New Roman" w:cs="Times New Roman"/>
          <w:b/>
          <w:bCs/>
          <w:u w:val="single"/>
          <w:lang w:eastAsia="en-IN"/>
        </w:rPr>
        <w:t>About Inox Wind</w:t>
      </w:r>
    </w:p>
    <w:p w14:paraId="664997BB" w14:textId="287BBA44" w:rsidR="005F37D8" w:rsidRPr="004323D8" w:rsidRDefault="005F37D8" w:rsidP="005F37D8">
      <w:pPr>
        <w:rPr>
          <w:rFonts w:ascii="Times New Roman" w:eastAsia="Times New Roman" w:hAnsi="Times New Roman" w:cs="Times New Roman"/>
          <w:lang w:eastAsia="en-IN"/>
        </w:rPr>
      </w:pPr>
      <w:r w:rsidRPr="005F37D8">
        <w:rPr>
          <w:rFonts w:ascii="Times New Roman" w:eastAsia="Times New Roman" w:hAnsi="Times New Roman" w:cs="Times New Roman"/>
          <w:lang w:eastAsia="en-IN"/>
        </w:rPr>
        <w:t>Inox Wind Limited (IWL) is India’s leading wind energy solutions provider servicing IPPs, PSUs</w:t>
      </w:r>
      <w:r w:rsidR="007864DE" w:rsidRPr="004323D8">
        <w:rPr>
          <w:rFonts w:ascii="Times New Roman" w:eastAsia="Times New Roman" w:hAnsi="Times New Roman" w:cs="Times New Roman"/>
          <w:lang w:eastAsia="en-IN"/>
        </w:rPr>
        <w:t xml:space="preserve">, </w:t>
      </w:r>
      <w:r w:rsidRPr="005F37D8">
        <w:rPr>
          <w:rFonts w:ascii="Times New Roman" w:eastAsia="Times New Roman" w:hAnsi="Times New Roman" w:cs="Times New Roman"/>
          <w:lang w:eastAsia="en-IN"/>
        </w:rPr>
        <w:t>Corporate investors</w:t>
      </w:r>
      <w:r w:rsidR="007864DE" w:rsidRPr="004323D8">
        <w:rPr>
          <w:rFonts w:ascii="Times New Roman" w:eastAsia="Times New Roman" w:hAnsi="Times New Roman" w:cs="Times New Roman"/>
          <w:lang w:eastAsia="en-IN"/>
        </w:rPr>
        <w:t xml:space="preserve"> and retail</w:t>
      </w:r>
      <w:r w:rsidRPr="005F37D8">
        <w:rPr>
          <w:rFonts w:ascii="Times New Roman" w:eastAsia="Times New Roman" w:hAnsi="Times New Roman" w:cs="Times New Roman"/>
          <w:lang w:eastAsia="en-IN"/>
        </w:rPr>
        <w:t xml:space="preserve">. IWL is a part of the </w:t>
      </w:r>
      <w:r w:rsidR="009F1AB9" w:rsidRPr="004323D8">
        <w:rPr>
          <w:rFonts w:ascii="Times New Roman" w:eastAsia="Times New Roman" w:hAnsi="Times New Roman" w:cs="Times New Roman"/>
          <w:lang w:eastAsia="en-IN"/>
        </w:rPr>
        <w:t>$16 billion</w:t>
      </w:r>
      <w:r w:rsidRPr="005F37D8">
        <w:rPr>
          <w:rFonts w:ascii="Times New Roman" w:eastAsia="Times New Roman" w:hAnsi="Times New Roman" w:cs="Times New Roman"/>
          <w:lang w:eastAsia="en-IN"/>
        </w:rPr>
        <w:t xml:space="preserve"> INOXGFL Group which has a legacy of over nine decades and is primarily focused on two business verticals - chemicals and renewable energy. IWL is a fully integrated player in the wind energy market with five state-of-the-art manufacturing plants in Gujarat, Madhya Pradesh and Himachal Pradesh, where Blades, Tubular Towers, as well as Hubs &amp; Nacelles are manufactured. With its state-of-the-art 3 MW and upcoming 4.45 MW series WTG offering, IWL’s manufacturing capacity stands at 2.5 GW per annum.</w:t>
      </w:r>
    </w:p>
    <w:p w14:paraId="7083BA0C" w14:textId="08855AD2" w:rsidR="00DD68BC" w:rsidRPr="005F37D8" w:rsidRDefault="00DD68BC" w:rsidP="005F37D8">
      <w:pPr>
        <w:rPr>
          <w:rFonts w:ascii="Times New Roman" w:eastAsia="Times New Roman" w:hAnsi="Times New Roman" w:cs="Times New Roman"/>
          <w:lang w:eastAsia="en-IN"/>
        </w:rPr>
      </w:pPr>
      <w:r w:rsidRPr="004323D8">
        <w:rPr>
          <w:rFonts w:ascii="Times New Roman" w:eastAsia="Times New Roman" w:hAnsi="Times New Roman" w:cs="Times New Roman"/>
          <w:lang w:eastAsia="en-IN"/>
        </w:rPr>
        <w:lastRenderedPageBreak/>
        <w:t>IWL offers end-to-end wind energy solutions from concept to commissioning to O&amp;M, manufacturing key components of WTGs, using the most advanced technology, in-house, to maintain high quality, reliability and cost competitiveness. IWL has ISO 9001:2008, ISO 14001:2004, OHSAS 18001 and ISO 3834 certifications for its management systems pertaining to the manufacturing, installation, commissioning and O&amp;M of wind turbines.</w:t>
      </w:r>
    </w:p>
    <w:p w14:paraId="01FDF020" w14:textId="088095C9" w:rsidR="00F4005B" w:rsidRPr="004323D8" w:rsidRDefault="00F4005B" w:rsidP="00F4005B">
      <w:pPr>
        <w:rPr>
          <w:rFonts w:ascii="Times New Roman" w:eastAsia="Times New Roman" w:hAnsi="Times New Roman" w:cs="Times New Roman"/>
          <w:lang w:eastAsia="en-IN"/>
        </w:rPr>
      </w:pPr>
      <w:r w:rsidRPr="004323D8">
        <w:rPr>
          <w:rFonts w:ascii="Times New Roman" w:eastAsia="Times New Roman" w:hAnsi="Times New Roman" w:cs="Times New Roman"/>
          <w:lang w:eastAsia="en-IN"/>
        </w:rPr>
        <w:t xml:space="preserve">IWL’s subsidiary, Inox Green Energy Services Ltd., is the only listed pure-play renewable O&amp;M services company in India, having a strong portfolio (including investments) of ~ 13.3 GW of assets and a multi-fold growth path ahead. Through its other subsidiary, Inox Renewable Solutions (earlier known as </w:t>
      </w:r>
      <w:proofErr w:type="spellStart"/>
      <w:r w:rsidRPr="004323D8">
        <w:rPr>
          <w:rFonts w:ascii="Times New Roman" w:eastAsia="Times New Roman" w:hAnsi="Times New Roman" w:cs="Times New Roman"/>
          <w:lang w:eastAsia="en-IN"/>
        </w:rPr>
        <w:t>Resco</w:t>
      </w:r>
      <w:proofErr w:type="spellEnd"/>
      <w:r w:rsidRPr="004323D8">
        <w:rPr>
          <w:rFonts w:ascii="Times New Roman" w:eastAsia="Times New Roman" w:hAnsi="Times New Roman" w:cs="Times New Roman"/>
          <w:lang w:eastAsia="en-IN"/>
        </w:rPr>
        <w:t xml:space="preserve"> Global Wind Services </w:t>
      </w:r>
      <w:proofErr w:type="spellStart"/>
      <w:r w:rsidRPr="004323D8">
        <w:rPr>
          <w:rFonts w:ascii="Times New Roman" w:eastAsia="Times New Roman" w:hAnsi="Times New Roman" w:cs="Times New Roman"/>
          <w:lang w:eastAsia="en-IN"/>
        </w:rPr>
        <w:t>Pvt.</w:t>
      </w:r>
      <w:proofErr w:type="spellEnd"/>
      <w:r w:rsidRPr="004323D8">
        <w:rPr>
          <w:rFonts w:ascii="Times New Roman" w:eastAsia="Times New Roman" w:hAnsi="Times New Roman" w:cs="Times New Roman"/>
          <w:lang w:eastAsia="en-IN"/>
        </w:rPr>
        <w:t xml:space="preserve"> Ltd.), IWL provides EPC services for wind</w:t>
      </w:r>
      <w:r w:rsidR="00605D82" w:rsidRPr="004323D8">
        <w:rPr>
          <w:rFonts w:ascii="Times New Roman" w:eastAsia="Times New Roman" w:hAnsi="Times New Roman" w:cs="Times New Roman"/>
          <w:lang w:eastAsia="en-IN"/>
        </w:rPr>
        <w:t xml:space="preserve"> and solar</w:t>
      </w:r>
      <w:r w:rsidRPr="004323D8">
        <w:rPr>
          <w:rFonts w:ascii="Times New Roman" w:eastAsia="Times New Roman" w:hAnsi="Times New Roman" w:cs="Times New Roman"/>
          <w:lang w:eastAsia="en-IN"/>
        </w:rPr>
        <w:t xml:space="preserve"> projects and develops common infrastructure, including power evacuation infrastructure, for renewable projects.</w:t>
      </w:r>
    </w:p>
    <w:p w14:paraId="05F1AE21" w14:textId="77777777" w:rsidR="00F4005B" w:rsidRPr="004323D8" w:rsidRDefault="00F4005B" w:rsidP="00F4005B">
      <w:pPr>
        <w:rPr>
          <w:rFonts w:ascii="Times New Roman" w:eastAsia="Times New Roman" w:hAnsi="Times New Roman" w:cs="Times New Roman"/>
          <w:lang w:eastAsia="en-IN"/>
        </w:rPr>
      </w:pPr>
    </w:p>
    <w:p w14:paraId="58824F4C" w14:textId="77777777" w:rsidR="00D47D13" w:rsidRPr="004323D8" w:rsidRDefault="00D47D13" w:rsidP="00D47D13">
      <w:pPr>
        <w:pStyle w:val="Default"/>
        <w:jc w:val="both"/>
        <w:rPr>
          <w:rFonts w:ascii="Times New Roman" w:hAnsi="Times New Roman" w:cs="Times New Roman"/>
          <w:color w:val="auto"/>
          <w:sz w:val="22"/>
          <w:szCs w:val="22"/>
          <w:lang w:val="en-IN" w:eastAsia="en-IN"/>
        </w:rPr>
      </w:pPr>
      <w:r w:rsidRPr="004323D8">
        <w:rPr>
          <w:rFonts w:ascii="Times New Roman" w:hAnsi="Times New Roman" w:cs="Times New Roman"/>
          <w:color w:val="auto"/>
          <w:sz w:val="22"/>
          <w:szCs w:val="22"/>
          <w:lang w:val="en-IN" w:eastAsia="en-IN"/>
        </w:rPr>
        <w:t xml:space="preserve">For more information please contact: </w:t>
      </w:r>
    </w:p>
    <w:p w14:paraId="1A290548" w14:textId="77777777" w:rsidR="00D47D13" w:rsidRPr="004323D8" w:rsidRDefault="00D47D13" w:rsidP="00D47D13">
      <w:pPr>
        <w:pStyle w:val="Default"/>
        <w:jc w:val="both"/>
        <w:rPr>
          <w:rFonts w:ascii="Times New Roman" w:hAnsi="Times New Roman" w:cs="Times New Roman"/>
          <w:color w:val="auto"/>
          <w:sz w:val="22"/>
          <w:szCs w:val="22"/>
          <w:lang w:val="en-IN" w:eastAsia="en-IN"/>
        </w:rPr>
      </w:pPr>
      <w:r w:rsidRPr="004323D8">
        <w:rPr>
          <w:rFonts w:ascii="Times New Roman" w:hAnsi="Times New Roman" w:cs="Times New Roman"/>
          <w:color w:val="auto"/>
          <w:sz w:val="22"/>
          <w:szCs w:val="22"/>
          <w:lang w:val="en-IN" w:eastAsia="en-IN"/>
        </w:rPr>
        <w:t>Investor Relations</w:t>
      </w:r>
    </w:p>
    <w:p w14:paraId="32BC597F" w14:textId="77777777" w:rsidR="00D47D13" w:rsidRPr="004323D8" w:rsidRDefault="00D47D13" w:rsidP="00D47D13">
      <w:pPr>
        <w:pStyle w:val="Default"/>
        <w:jc w:val="both"/>
        <w:rPr>
          <w:rFonts w:ascii="Times New Roman" w:hAnsi="Times New Roman" w:cs="Times New Roman"/>
          <w:color w:val="auto"/>
          <w:sz w:val="22"/>
          <w:szCs w:val="22"/>
          <w:lang w:val="en-IN" w:eastAsia="en-IN"/>
        </w:rPr>
      </w:pPr>
      <w:r w:rsidRPr="004323D8">
        <w:rPr>
          <w:rFonts w:ascii="Times New Roman" w:hAnsi="Times New Roman" w:cs="Times New Roman"/>
          <w:color w:val="auto"/>
          <w:sz w:val="22"/>
          <w:szCs w:val="22"/>
          <w:lang w:val="en-IN" w:eastAsia="en-IN"/>
        </w:rPr>
        <w:t xml:space="preserve">Inox Wind Limited </w:t>
      </w:r>
    </w:p>
    <w:p w14:paraId="7EC23BC5" w14:textId="77777777" w:rsidR="00D47D13" w:rsidRPr="004323D8" w:rsidRDefault="00D47D13" w:rsidP="00D47D13">
      <w:pPr>
        <w:pStyle w:val="Default"/>
        <w:jc w:val="both"/>
        <w:rPr>
          <w:rFonts w:ascii="Times New Roman" w:hAnsi="Times New Roman" w:cs="Times New Roman"/>
          <w:color w:val="auto"/>
          <w:sz w:val="22"/>
          <w:szCs w:val="22"/>
          <w:lang w:val="en-IN" w:eastAsia="en-IN"/>
        </w:rPr>
      </w:pPr>
      <w:r w:rsidRPr="004323D8">
        <w:rPr>
          <w:rFonts w:ascii="Times New Roman" w:hAnsi="Times New Roman" w:cs="Times New Roman"/>
          <w:color w:val="auto"/>
          <w:sz w:val="22"/>
          <w:szCs w:val="22"/>
          <w:lang w:val="en-IN" w:eastAsia="en-IN"/>
        </w:rPr>
        <w:t xml:space="preserve">Phone (O): +91 120 614 9600 </w:t>
      </w:r>
    </w:p>
    <w:p w14:paraId="0B0BA33F" w14:textId="7C7BDE36" w:rsidR="00D47D13" w:rsidRPr="00775539" w:rsidRDefault="00D47D13" w:rsidP="00D47D13">
      <w:r w:rsidRPr="004323D8">
        <w:rPr>
          <w:rFonts w:ascii="Times New Roman" w:eastAsia="Times New Roman" w:hAnsi="Times New Roman" w:cs="Times New Roman"/>
          <w:lang w:eastAsia="en-IN"/>
        </w:rPr>
        <w:t xml:space="preserve">Email: </w:t>
      </w:r>
      <w:hyperlink r:id="rId6" w:history="1">
        <w:r w:rsidRPr="004323D8">
          <w:rPr>
            <w:rFonts w:ascii="Times New Roman" w:eastAsia="Times New Roman" w:hAnsi="Times New Roman" w:cs="Times New Roman"/>
            <w:lang w:eastAsia="en-IN"/>
          </w:rPr>
          <w:t>investors.iwl@inoxwind.com</w:t>
        </w:r>
      </w:hyperlink>
      <w:bookmarkEnd w:id="0"/>
    </w:p>
    <w:sectPr w:rsidR="00D47D13" w:rsidRPr="00775539" w:rsidSect="007837C0">
      <w:headerReference w:type="default" r:id="rId7"/>
      <w:pgSz w:w="11906" w:h="16838"/>
      <w:pgMar w:top="1440" w:right="1440" w:bottom="1440" w:left="1440" w:header="28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852A2" w14:textId="77777777" w:rsidR="001E2D85" w:rsidRDefault="001E2D85" w:rsidP="0065438E">
      <w:pPr>
        <w:spacing w:after="0" w:line="240" w:lineRule="auto"/>
      </w:pPr>
      <w:r>
        <w:separator/>
      </w:r>
    </w:p>
  </w:endnote>
  <w:endnote w:type="continuationSeparator" w:id="0">
    <w:p w14:paraId="5CA4EF3D" w14:textId="77777777" w:rsidR="001E2D85" w:rsidRDefault="001E2D85" w:rsidP="0065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66DE7" w14:textId="77777777" w:rsidR="001E2D85" w:rsidRDefault="001E2D85" w:rsidP="0065438E">
      <w:pPr>
        <w:spacing w:after="0" w:line="240" w:lineRule="auto"/>
      </w:pPr>
      <w:r>
        <w:separator/>
      </w:r>
    </w:p>
  </w:footnote>
  <w:footnote w:type="continuationSeparator" w:id="0">
    <w:p w14:paraId="6E1EE3AE" w14:textId="77777777" w:rsidR="001E2D85" w:rsidRDefault="001E2D85" w:rsidP="00654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3293" w14:textId="01FA49F5" w:rsidR="007837C0" w:rsidRDefault="007837C0">
    <w:pPr>
      <w:pStyle w:val="Header"/>
    </w:pPr>
    <w:r>
      <w:rPr>
        <w:noProof/>
      </w:rPr>
      <w:drawing>
        <wp:inline distT="0" distB="0" distL="0" distR="0" wp14:anchorId="79F3E882" wp14:editId="1D2BBF63">
          <wp:extent cx="1955800" cy="622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5800" cy="6223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0C6"/>
    <w:rsid w:val="00032E44"/>
    <w:rsid w:val="000F3440"/>
    <w:rsid w:val="0013411B"/>
    <w:rsid w:val="001462CD"/>
    <w:rsid w:val="001C2D4E"/>
    <w:rsid w:val="001E2D85"/>
    <w:rsid w:val="001F3BA9"/>
    <w:rsid w:val="003175F9"/>
    <w:rsid w:val="00400660"/>
    <w:rsid w:val="004323D8"/>
    <w:rsid w:val="004B570F"/>
    <w:rsid w:val="004C797E"/>
    <w:rsid w:val="004D5881"/>
    <w:rsid w:val="0056267A"/>
    <w:rsid w:val="005B6C16"/>
    <w:rsid w:val="005F37D8"/>
    <w:rsid w:val="005F4AC8"/>
    <w:rsid w:val="00605D82"/>
    <w:rsid w:val="00611898"/>
    <w:rsid w:val="00614C01"/>
    <w:rsid w:val="0065438E"/>
    <w:rsid w:val="00665B47"/>
    <w:rsid w:val="006A27FC"/>
    <w:rsid w:val="006F358A"/>
    <w:rsid w:val="007107BD"/>
    <w:rsid w:val="007146E4"/>
    <w:rsid w:val="00751D88"/>
    <w:rsid w:val="00770365"/>
    <w:rsid w:val="00775539"/>
    <w:rsid w:val="0078282D"/>
    <w:rsid w:val="007837C0"/>
    <w:rsid w:val="007864DE"/>
    <w:rsid w:val="00795B2D"/>
    <w:rsid w:val="007A5EA8"/>
    <w:rsid w:val="007B4367"/>
    <w:rsid w:val="007C7A0A"/>
    <w:rsid w:val="00835C79"/>
    <w:rsid w:val="00882DB4"/>
    <w:rsid w:val="008C1D91"/>
    <w:rsid w:val="00937941"/>
    <w:rsid w:val="009617BD"/>
    <w:rsid w:val="0098652E"/>
    <w:rsid w:val="00986B55"/>
    <w:rsid w:val="009C3EE7"/>
    <w:rsid w:val="009D76B3"/>
    <w:rsid w:val="009F081B"/>
    <w:rsid w:val="009F1AB9"/>
    <w:rsid w:val="009F70C6"/>
    <w:rsid w:val="009F7AD8"/>
    <w:rsid w:val="00A31356"/>
    <w:rsid w:val="00A44F70"/>
    <w:rsid w:val="00AD7F56"/>
    <w:rsid w:val="00B30E09"/>
    <w:rsid w:val="00B32C7B"/>
    <w:rsid w:val="00B5620B"/>
    <w:rsid w:val="00B61024"/>
    <w:rsid w:val="00BA4675"/>
    <w:rsid w:val="00BC336A"/>
    <w:rsid w:val="00BE546A"/>
    <w:rsid w:val="00BE6B64"/>
    <w:rsid w:val="00C459E4"/>
    <w:rsid w:val="00C462D5"/>
    <w:rsid w:val="00CA2985"/>
    <w:rsid w:val="00CC627D"/>
    <w:rsid w:val="00CC692F"/>
    <w:rsid w:val="00CF12A3"/>
    <w:rsid w:val="00D01B57"/>
    <w:rsid w:val="00D47D13"/>
    <w:rsid w:val="00D5115A"/>
    <w:rsid w:val="00D658A0"/>
    <w:rsid w:val="00D9322B"/>
    <w:rsid w:val="00DA66FE"/>
    <w:rsid w:val="00DD68BC"/>
    <w:rsid w:val="00E46B91"/>
    <w:rsid w:val="00E876B8"/>
    <w:rsid w:val="00E91713"/>
    <w:rsid w:val="00E94F9B"/>
    <w:rsid w:val="00EC176A"/>
    <w:rsid w:val="00EE6C51"/>
    <w:rsid w:val="00EF133D"/>
    <w:rsid w:val="00F271C1"/>
    <w:rsid w:val="00F4005B"/>
    <w:rsid w:val="00F5276A"/>
    <w:rsid w:val="00FA3DE7"/>
    <w:rsid w:val="00FF18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640C90"/>
  <w15:chartTrackingRefBased/>
  <w15:docId w15:val="{33B2019A-7FFB-4388-A68C-5D854569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55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539"/>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semiHidden/>
    <w:unhideWhenUsed/>
    <w:rsid w:val="007755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5539"/>
    <w:rPr>
      <w:b/>
      <w:bCs/>
    </w:rPr>
  </w:style>
  <w:style w:type="paragraph" w:customStyle="1" w:styleId="Default">
    <w:name w:val="Default"/>
    <w:rsid w:val="00D47D13"/>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styleId="Hyperlink">
    <w:name w:val="Hyperlink"/>
    <w:basedOn w:val="DefaultParagraphFont"/>
    <w:uiPriority w:val="99"/>
    <w:unhideWhenUsed/>
    <w:rsid w:val="00D47D13"/>
    <w:rPr>
      <w:color w:val="0563C1" w:themeColor="hyperlink"/>
      <w:u w:val="single"/>
    </w:rPr>
  </w:style>
  <w:style w:type="paragraph" w:styleId="Header">
    <w:name w:val="header"/>
    <w:basedOn w:val="Normal"/>
    <w:link w:val="HeaderChar"/>
    <w:uiPriority w:val="99"/>
    <w:unhideWhenUsed/>
    <w:rsid w:val="00783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7C0"/>
  </w:style>
  <w:style w:type="paragraph" w:styleId="Footer">
    <w:name w:val="footer"/>
    <w:basedOn w:val="Normal"/>
    <w:link w:val="FooterChar"/>
    <w:uiPriority w:val="99"/>
    <w:unhideWhenUsed/>
    <w:rsid w:val="00783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7C0"/>
  </w:style>
  <w:style w:type="paragraph" w:styleId="ListParagraph">
    <w:name w:val="List Paragraph"/>
    <w:basedOn w:val="Normal"/>
    <w:uiPriority w:val="34"/>
    <w:qFormat/>
    <w:rsid w:val="00986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10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vestors.iwl@inoxwind.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1F4B.877E911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618</Words>
  <Characters>3528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Sharma</dc:creator>
  <cp:keywords/>
  <dc:description/>
  <cp:lastModifiedBy>Mohit  Sharma</cp:lastModifiedBy>
  <cp:revision>2</cp:revision>
  <dcterms:created xsi:type="dcterms:W3CDTF">2026-09-03T05:29:00Z</dcterms:created>
  <dcterms:modified xsi:type="dcterms:W3CDTF">2026-09-03T05:29:00Z</dcterms:modified>
</cp:coreProperties>
</file>